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2065</w:t>
      </w:r>
      <w:r>
        <w:rPr>
          <w:rFonts w:ascii="Times New Roman" w:eastAsia="Times New Roman" w:hAnsi="Times New Roman" w:cs="Times New Roman"/>
          <w:sz w:val="28"/>
          <w:szCs w:val="28"/>
        </w:rPr>
        <w:t>-26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11 сентября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tabs>
          <w:tab w:val="left" w:pos="3615"/>
        </w:tabs>
        <w:spacing w:before="0" w:after="0"/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каб.305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ассмотрев материалы дела об административном правонарушении, предусмотренном ст.15.5 КоАП РФ в отношении: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Хоменок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Светланы Анатольевны, </w:t>
      </w:r>
      <w:r>
        <w:rPr>
          <w:rStyle w:val="cat-UserDefinedgrp-25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szCs w:val="28"/>
        </w:rPr>
        <w:t>Хоменок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являясь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>
        <w:rPr>
          <w:rStyle w:val="cat-UserDefinedgrp-26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в установленный законом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sz w:val="28"/>
          <w:szCs w:val="28"/>
        </w:rPr>
        <w:t>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инспекцию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НС России по </w:t>
      </w:r>
      <w:r>
        <w:rPr>
          <w:rStyle w:val="cat-Addressgrp-5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декларацию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налогу, уплачиваемому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применением упрощенной системы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налогообложения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рок предоставления которо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25.03.2024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Хоменок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Хоменок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 1 п.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346.23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Налогового Кодекса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итогам </w:t>
      </w:r>
      <w:hyperlink w:anchor="sub_10049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налогового периода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налогоплательщики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налоговую декларацию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налоговый орган по месту нахождения организации или месту жительства индивидуального предпринимателя в следующие сроки: </w:t>
      </w:r>
      <w:r>
        <w:rPr>
          <w:rFonts w:ascii="Times New Roman" w:eastAsia="Times New Roman" w:hAnsi="Times New Roman" w:cs="Times New Roman"/>
          <w:sz w:val="28"/>
          <w:szCs w:val="28"/>
        </w:rPr>
        <w:t>1) организации - не позднее 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 года, следующего за истекшим </w:t>
      </w:r>
      <w:hyperlink w:anchor="sub_10049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налоговым периодом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(за исключением случаев, предусмотренных </w:t>
      </w:r>
      <w:hyperlink w:anchor="sub_10042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пунктами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sub_1004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статьи); 2) индивидуальные предприниматели - не позднее 30 апреля года, следующего за истекшим </w:t>
      </w:r>
      <w:hyperlink w:anchor="sub_10049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налоговым периодом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(за исключением случаев, предусмотренных </w:t>
      </w:r>
      <w:hyperlink w:anchor="sub_10042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пунктами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sub_1004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Хоменок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</w:t>
      </w:r>
      <w:r>
        <w:rPr>
          <w:rFonts w:ascii="Times New Roman" w:eastAsia="Times New Roman" w:hAnsi="Times New Roman" w:cs="Times New Roman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>32398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31.07.2024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выписка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списка почтовых отправлений.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Хоменок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15.5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Хоменок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4.2, 4.3 КоАП РФ, смягчающих и отягчающих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 учитывается характер совершенного им административного правонарушения, личность виновного, совершившего административное правонарушение впервые, которое не причинило вреда или угрозу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и имущественного ущерба.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Хоменок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Светлану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Анатольевн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и назначить административное наказание в виде предупреждения.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Г.Н. </w:t>
      </w:r>
      <w:r>
        <w:rPr>
          <w:rFonts w:ascii="Times New Roman" w:eastAsia="Times New Roman" w:hAnsi="Times New Roman" w:cs="Times New Roman"/>
          <w:sz w:val="28"/>
          <w:szCs w:val="28"/>
        </w:rPr>
        <w:t>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 xml:space="preserve">Г.Н. </w:t>
      </w:r>
      <w:r>
        <w:rPr>
          <w:rFonts w:ascii="Times New Roman" w:eastAsia="Times New Roman" w:hAnsi="Times New Roman" w:cs="Times New Roman"/>
        </w:rPr>
        <w:t>Ушкин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сентября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sz w:val="22"/>
          <w:szCs w:val="22"/>
        </w:rPr>
        <w:t>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2065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Секретарь судебно</w:t>
      </w:r>
      <w:r>
        <w:rPr>
          <w:rFonts w:ascii="Times New Roman" w:eastAsia="Times New Roman" w:hAnsi="Times New Roman" w:cs="Times New Roman"/>
        </w:rPr>
        <w:t>го заседания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25rplc-8">
    <w:name w:val="cat-UserDefined grp-25 rplc-8"/>
    <w:basedOn w:val="DefaultParagraphFont"/>
  </w:style>
  <w:style w:type="character" w:customStyle="1" w:styleId="cat-UserDefinedgrp-26rplc-17">
    <w:name w:val="cat-UserDefined grp-26 rplc-17"/>
    <w:basedOn w:val="DefaultParagraphFont"/>
  </w:style>
  <w:style w:type="character" w:customStyle="1" w:styleId="cat-Addressgrp-5rplc-18">
    <w:name w:val="cat-Address grp-5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263104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